
<file path=[Content_Types].xml><?xml version="1.0" encoding="utf-8"?>
<Types xmlns="http://schemas.openxmlformats.org/package/2006/content-types">
  <Default Extension="png" ContentType="image/png"/>
  <Default Extension="jpeg" ContentType="image/jpeg"/>
  <Default Extension="bmp" ContentType="image/bmp"/>
  <Default Extension="rels" ContentType="application/vnd.openxmlformats-package.relationships+xml"/>
  <Default Extension="xml" ContentType="application/xml"/>
  <Default Extension="emf" ContentType="image/x-emf"/>
  <Default Extension="wmf" ContentType="image/x-wmf"/>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Ind w:w="0" w:type="dxa"/>
        <w:tblW w:w="5000" w:type="pct"/>
        <w:tblBorders>
          <w:top w:val="nil"/>
          <w:left w:val="nil"/>
          <w:bottom w:val="nil"/>
          <w:right w:val="nil"/>
          <w:insideV w:val="nil"/>
          <w:insideH w:val="nil"/>
        </w:tblBorders>
      </w:tblPr>
      <w:tblGrid>
        <w:gridCol w:w="10716"/>
      </w:tblGrid>
      <w:tr>
        <w:trPr>
          <w:trHeight w:val="3031" w:hRule="exact"/>
        </w:trPr>
        <w:tblPrEx>
          <w:tblBorders>
            <w:top w:val="nil"/>
            <w:left w:val="nil"/>
            <w:bottom w:val="nil"/>
            <w:right w:val="nil"/>
            <w:insideV w:val="nil"/>
            <w:insideH w:val="nil"/>
          </w:tblBorders>
        </w:tblPrEx>
        <w:tc>
          <w:tcPr>
            <w:tcW w:w="10716" w:type="dxa"/>
            <w:tcMar>
              <w:top w:w="60" w:type="dxa"/>
              <w:left w:w="80" w:type="dxa"/>
              <w:bottom w:w="60" w:type="dxa"/>
              <w:right w:w="80" w:type="dxa"/>
            </w:tcMar>
            <w:tcBorders>
              <w:top w:val="nil"/>
              <w:left w:val="nil"/>
              <w:bottom w:val="nil"/>
              <w:right w:val="nil"/>
            </w:tcBorders>
          </w:tcPr>
          <w:p>
            <w:pPr>
              <w:pStyle w:val="5"/>
            </w:pPr>
            <w:r>
              <w:rPr>
                <w:position w:val="-61"/>
              </w:rPr>
              <w:drawing>
                <wp:inline distT="0" distB="0" distL="0" distR="0">
                  <wp:extent cx="3810000" cy="90487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
                            <a:extLst>
                              <a:ext uri="{28A0092B-C50C-407E-A947-70E740481C1C}">
                                <a14:useLocalDpi xmlns:a14="http://schemas.microsoft.com/office/drawing/2010/main" val="0"/>
                              </a:ext>
                            </a:extLst>
                          </a:blip>
                          <a:srcRect/>
                          <a:stretch>
                            <a:fillRect/>
                          </a:stretch>
                        </pic:blipFill>
                        <pic:spPr bwMode="auto">
                          <a:xfrm>
                            <a:off x="0" y="0"/>
                            <a:ext cx="3810000" cy="904875"/>
                          </a:xfrm>
                          <a:prstGeom prst="rect">
                            <a:avLst/>
                          </a:prstGeom>
                          <a:noFill/>
                          <a:ln>
                            <a:noFill/>
                          </a:ln>
                        </pic:spPr>
                      </pic:pic>
                    </a:graphicData>
                  </a:graphic>
                </wp:inline>
              </w:drawing>
            </w:r>
          </w:p>
        </w:tc>
      </w:tr>
      <w:tr>
        <w:trPr>
          <w:trHeight w:val="8335"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48"/>
              </w:rPr>
              <w:t xml:space="preserve">Приказ Минприроды России от 26.11.2025 N 651</w:t>
              <w:br/>
              <w:t xml:space="preserve">"Об утверждении требований к мероприятиям по снижению выбросов загрязняющих веществ в атмосферный воздух в периоды неблагоприятных метеорологических условий и их проведению при поступлении общих прогнозов неблагоприятных метеорологических условий или специализированных прогнозов неблагоприятных метеорологических условий"</w:t>
              <w:br/>
              <w:t xml:space="preserve">(Зарегистрировано в Минюсте России 28.11.2025 N 84372)</w:t>
            </w:r>
          </w:p>
        </w:tc>
      </w:tr>
      <w:tr>
        <w:trPr>
          <w:trHeight w:val="3031"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28"/>
              </w:rPr>
              <w:t xml:space="preserve">Документ предоставлен </w:t>
            </w:r>
            <w:hyperlink w:history="0" r:id="rId3" w:tooltip="Ссылка на КонсультантПлюс">
              <w:r>
                <w:rPr>
                  <w:sz w:val="28"/>
                  <w:color w:val="0000ff"/>
                  <w:b w:val="on"/>
                </w:rPr>
                <w:t xml:space="preserve">КонсультантПлюс</w:t>
                <w:br/>
                <w:br/>
              </w:r>
            </w:hyperlink>
            <w:hyperlink w:history="0" r:id="rId4" w:tooltip="Ссылка на КонсультантПлюс">
              <w:r>
                <w:rPr>
                  <w:sz w:val="28"/>
                  <w:color w:val="0000ff"/>
                  <w:b w:val="on"/>
                </w:rPr>
                <w:t xml:space="preserve">www.consultant.ru</w:t>
              </w:r>
            </w:hyperlink>
            <w:r>
              <w:rPr>
                <w:sz w:val="28"/>
              </w:rPr>
              <w:br/>
              <w:br/>
              <w:t xml:space="preserve">Дата сохранения: 06.04.2026</w:t>
            </w:r>
            <w:r>
              <w:rPr>
                <w:sz w:val="28"/>
              </w:rPr>
              <w:br/>
              <w:t xml:space="preserve"> </w:t>
            </w:r>
          </w:p>
        </w:tc>
      </w:tr>
    </w:tbl>
    <w:p>
      <w:pPr>
        <w:sectPr>
          <w:pgSz w:w="11906" w:h="16838"/>
          <w:pgMar w:top="841" w:right="595" w:bottom="841" w:left="595" w:header="0" w:footer="0" w:gutter="0"/>
          <w:titlePg/>
        </w:sectPr>
      </w:pPr>
    </w:p>
    <w:p>
      <w:pPr>
        <w:pStyle w:val="0"/>
        <w:outlineLvl w:val="0"/>
        <w:jc w:val="both"/>
      </w:pPr>
      <w:r>
        <w:rPr>
          <w:sz w:val="24"/>
        </w:rPr>
      </w:r>
    </w:p>
    <w:p>
      <w:pPr>
        <w:pStyle w:val="0"/>
        <w:outlineLvl w:val="0"/>
      </w:pPr>
      <w:r>
        <w:rPr>
          <w:sz w:val="24"/>
        </w:rPr>
        <w:t xml:space="preserve">Зарегистрировано в Минюсте России 28 ноября 2025 г. N 84372</w:t>
      </w:r>
    </w:p>
    <w:p>
      <w:pPr>
        <w:pStyle w:val="0"/>
        <w:jc w:val="both"/>
        <w:pBdr>
          <w:bottom w:val="single" w:sz="6" w:space="0" w:color="auto"/>
        </w:pBdr>
        <w:spacing w:before="100" w:after="100"/>
        <w:rPr>
          <w:sz w:val="2"/>
          <w:szCs w:val="2"/>
        </w:rPr>
      </w:pPr>
    </w:p>
    <w:p>
      <w:pPr>
        <w:pStyle w:val="0"/>
      </w:pPr>
      <w:r>
        <w:rPr>
          <w:sz w:val="24"/>
        </w:rPr>
      </w:r>
    </w:p>
    <w:p>
      <w:pPr>
        <w:pStyle w:val="2"/>
        <w:jc w:val="center"/>
      </w:pPr>
      <w:r>
        <w:rPr>
          <w:sz w:val="24"/>
        </w:rPr>
        <w:t xml:space="preserve">МИНИСТЕРСТВО ПРИРОДНЫХ РЕСУРСОВ И ЭКОЛОГИИ</w:t>
      </w:r>
    </w:p>
    <w:p>
      <w:pPr>
        <w:pStyle w:val="2"/>
        <w:jc w:val="center"/>
      </w:pPr>
      <w:r>
        <w:rPr>
          <w:sz w:val="24"/>
        </w:rPr>
        <w:t xml:space="preserve">РОССИЙСКОЙ ФЕДЕРАЦИИ</w:t>
      </w:r>
    </w:p>
    <w:p>
      <w:pPr>
        <w:pStyle w:val="2"/>
        <w:jc w:val="center"/>
      </w:pPr>
      <w:r>
        <w:rPr>
          <w:sz w:val="24"/>
        </w:rPr>
      </w:r>
    </w:p>
    <w:p>
      <w:pPr>
        <w:pStyle w:val="2"/>
        <w:jc w:val="center"/>
      </w:pPr>
      <w:r>
        <w:rPr>
          <w:sz w:val="24"/>
        </w:rPr>
        <w:t xml:space="preserve">ПРИКАЗ</w:t>
      </w:r>
    </w:p>
    <w:p>
      <w:pPr>
        <w:pStyle w:val="2"/>
        <w:jc w:val="center"/>
      </w:pPr>
      <w:r>
        <w:rPr>
          <w:sz w:val="24"/>
        </w:rPr>
        <w:t xml:space="preserve">от 26 ноября 2025 г. N 651</w:t>
      </w:r>
    </w:p>
    <w:p>
      <w:pPr>
        <w:pStyle w:val="2"/>
        <w:jc w:val="center"/>
      </w:pPr>
      <w:r>
        <w:rPr>
          <w:sz w:val="24"/>
        </w:rPr>
      </w:r>
    </w:p>
    <w:p>
      <w:pPr>
        <w:pStyle w:val="2"/>
        <w:jc w:val="center"/>
      </w:pPr>
      <w:r>
        <w:rPr>
          <w:sz w:val="24"/>
        </w:rPr>
        <w:t xml:space="preserve">ОБ УТВЕРЖДЕНИИ ТРЕБОВАНИЙ</w:t>
      </w:r>
    </w:p>
    <w:p>
      <w:pPr>
        <w:pStyle w:val="2"/>
        <w:jc w:val="center"/>
      </w:pPr>
      <w:r>
        <w:rPr>
          <w:sz w:val="24"/>
        </w:rPr>
        <w:t xml:space="preserve">К МЕРОПРИЯТИЯМ ПО СНИЖЕНИЮ ВЫБРОСОВ ЗАГРЯЗНЯЮЩИХ</w:t>
      </w:r>
    </w:p>
    <w:p>
      <w:pPr>
        <w:pStyle w:val="2"/>
        <w:jc w:val="center"/>
      </w:pPr>
      <w:r>
        <w:rPr>
          <w:sz w:val="24"/>
        </w:rPr>
        <w:t xml:space="preserve">ВЕЩЕСТВ В АТМОСФЕРНЫЙ ВОЗДУХ В ПЕРИОДЫ НЕБЛАГОПРИЯТНЫХ</w:t>
      </w:r>
    </w:p>
    <w:p>
      <w:pPr>
        <w:pStyle w:val="2"/>
        <w:jc w:val="center"/>
      </w:pPr>
      <w:r>
        <w:rPr>
          <w:sz w:val="24"/>
        </w:rPr>
        <w:t xml:space="preserve">МЕТЕОРОЛОГИЧЕСКИХ УСЛОВИЙ И ИХ ПРОВЕДЕНИЮ ПРИ ПОСТУПЛЕНИИ</w:t>
      </w:r>
    </w:p>
    <w:p>
      <w:pPr>
        <w:pStyle w:val="2"/>
        <w:jc w:val="center"/>
      </w:pPr>
      <w:r>
        <w:rPr>
          <w:sz w:val="24"/>
        </w:rPr>
        <w:t xml:space="preserve">ОБЩИХ ПРОГНОЗОВ НЕБЛАГОПРИЯТНЫХ МЕТЕОРОЛОГИЧЕСКИХ УСЛОВИЙ</w:t>
      </w:r>
    </w:p>
    <w:p>
      <w:pPr>
        <w:pStyle w:val="2"/>
        <w:jc w:val="center"/>
      </w:pPr>
      <w:r>
        <w:rPr>
          <w:sz w:val="24"/>
        </w:rPr>
        <w:t xml:space="preserve">ИЛИ СПЕЦИАЛИЗИРОВАННЫХ ПРОГНОЗОВ НЕБЛАГОПРИЯТНЫХ</w:t>
      </w:r>
    </w:p>
    <w:p>
      <w:pPr>
        <w:pStyle w:val="2"/>
        <w:jc w:val="center"/>
      </w:pPr>
      <w:r>
        <w:rPr>
          <w:sz w:val="24"/>
        </w:rPr>
        <w:t xml:space="preserve">МЕТЕОРОЛОГИЧЕСКИХ УСЛОВИЙ</w:t>
      </w:r>
    </w:p>
    <w:p>
      <w:pPr>
        <w:pStyle w:val="0"/>
        <w:ind w:firstLine="540"/>
        <w:jc w:val="both"/>
      </w:pPr>
      <w:r>
        <w:rPr>
          <w:sz w:val="24"/>
        </w:rPr>
      </w:r>
    </w:p>
    <w:p>
      <w:pPr>
        <w:pStyle w:val="0"/>
        <w:ind w:firstLine="540"/>
        <w:jc w:val="both"/>
      </w:pPr>
      <w:r>
        <w:rPr>
          <w:sz w:val="24"/>
        </w:rPr>
        <w:t xml:space="preserve">В соответствии с </w:t>
      </w:r>
      <w:r>
        <w:rPr>
          <w:sz w:val="24"/>
        </w:rPr>
        <w:t xml:space="preserve">подпунктом 1 пункта 12 статьи 19</w:t>
      </w:r>
      <w:r>
        <w:rPr>
          <w:sz w:val="24"/>
        </w:rPr>
        <w:t xml:space="preserve"> Федерального закона от 04.05.1999 N 96-ФЗ "Об охране атмосферного воздуха", </w:t>
      </w:r>
      <w:r>
        <w:rPr>
          <w:sz w:val="24"/>
        </w:rPr>
        <w:t xml:space="preserve">абзацем первым пункта 1</w:t>
      </w:r>
      <w:r>
        <w:rPr>
          <w:sz w:val="24"/>
        </w:rPr>
        <w:t xml:space="preserve"> Положения о Министерстве природных ресурсов и экологии Российской Федерации, утвержденного постановлением Правительства Российской Федерации от 11.11.2015 N 1219, приказываю:</w:t>
      </w:r>
    </w:p>
    <w:p>
      <w:pPr>
        <w:pStyle w:val="0"/>
        <w:spacing w:before="240" w:line-rule="auto"/>
        <w:ind w:firstLine="540"/>
        <w:jc w:val="both"/>
      </w:pPr>
      <w:r>
        <w:rPr>
          <w:sz w:val="24"/>
        </w:rPr>
        <w:t xml:space="preserve">1. Утвердить прилагаемые </w:t>
      </w:r>
      <w:hyperlink w:history="0" w:anchor="P34" w:tooltip="ТРЕБОВАНИЯ">
        <w:r>
          <w:rPr>
            <w:sz w:val="24"/>
            <w:color w:val="0000ff"/>
          </w:rPr>
          <w:t xml:space="preserve">требования</w:t>
        </w:r>
      </w:hyperlink>
      <w:r>
        <w:rPr>
          <w:sz w:val="24"/>
        </w:rPr>
        <w:t xml:space="preserve"> к мероприятиям по снижению выбросов загрязняющих веществ в атмосферный воздух в периоды неблагоприятных метеорологических условий и их проведению при поступлении общих прогнозов неблагоприятных метеорологических условий или специализированных прогнозов неблагоприятных метеорологических условий.</w:t>
      </w:r>
    </w:p>
    <w:p>
      <w:pPr>
        <w:pStyle w:val="0"/>
        <w:spacing w:before="240" w:line-rule="auto"/>
        <w:ind w:firstLine="540"/>
        <w:jc w:val="both"/>
      </w:pPr>
      <w:r>
        <w:rPr>
          <w:sz w:val="24"/>
        </w:rPr>
        <w:t xml:space="preserve">2. Признать утратившим силу </w:t>
      </w:r>
      <w:r>
        <w:rPr>
          <w:sz w:val="24"/>
        </w:rPr>
        <w:t xml:space="preserve">приказ</w:t>
      </w:r>
      <w:r>
        <w:rPr>
          <w:sz w:val="24"/>
        </w:rPr>
        <w:t xml:space="preserve"> Минприроды России от 28.11.2019 N 811 "Об утверждении требований к мероприятиям по уменьшению выбросов загрязняющих веществ в атмосферный воздух в периоды неблагоприятных метеорологических условий" (зарегистрирован Министерством юстиции Российской Федерации 24.12.2019, регистрационный N 56960).</w:t>
      </w:r>
    </w:p>
    <w:p>
      <w:pPr>
        <w:pStyle w:val="0"/>
        <w:spacing w:before="240" w:line-rule="auto"/>
        <w:ind w:firstLine="540"/>
        <w:jc w:val="both"/>
      </w:pPr>
      <w:r>
        <w:rPr>
          <w:sz w:val="24"/>
        </w:rPr>
        <w:t xml:space="preserve">3. Настоящий приказ вступает в силу с 01.03.2026 и действует до 01.03.2032.</w:t>
      </w:r>
    </w:p>
    <w:p>
      <w:pPr>
        <w:pStyle w:val="0"/>
        <w:ind w:firstLine="540"/>
        <w:jc w:val="both"/>
      </w:pPr>
      <w:r>
        <w:rPr>
          <w:sz w:val="24"/>
        </w:rPr>
      </w:r>
    </w:p>
    <w:p>
      <w:pPr>
        <w:pStyle w:val="0"/>
        <w:jc w:val="right"/>
      </w:pPr>
      <w:r>
        <w:rPr>
          <w:sz w:val="24"/>
        </w:rPr>
        <w:t xml:space="preserve">Министр</w:t>
      </w:r>
    </w:p>
    <w:p>
      <w:pPr>
        <w:pStyle w:val="0"/>
        <w:jc w:val="right"/>
      </w:pPr>
      <w:r>
        <w:rPr>
          <w:sz w:val="24"/>
        </w:rPr>
        <w:t xml:space="preserve">А.А.КОЗЛОВ</w:t>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outlineLvl w:val="0"/>
        <w:jc w:val="right"/>
      </w:pPr>
      <w:r>
        <w:rPr>
          <w:sz w:val="24"/>
        </w:rPr>
        <w:t xml:space="preserve">Утверждены</w:t>
      </w:r>
    </w:p>
    <w:p>
      <w:pPr>
        <w:pStyle w:val="0"/>
        <w:jc w:val="right"/>
      </w:pPr>
      <w:r>
        <w:rPr>
          <w:sz w:val="24"/>
        </w:rPr>
        <w:t xml:space="preserve">приказом Минприроды России</w:t>
      </w:r>
    </w:p>
    <w:p>
      <w:pPr>
        <w:pStyle w:val="0"/>
        <w:jc w:val="right"/>
      </w:pPr>
      <w:r>
        <w:rPr>
          <w:sz w:val="24"/>
        </w:rPr>
        <w:t xml:space="preserve">от 26.11.2025 N 651</w:t>
      </w:r>
    </w:p>
    <w:p>
      <w:pPr>
        <w:pStyle w:val="0"/>
        <w:jc w:val="center"/>
      </w:pPr>
      <w:r>
        <w:rPr>
          <w:sz w:val="24"/>
        </w:rPr>
      </w:r>
    </w:p>
    <w:bookmarkStart w:id="34" w:name="P34"/>
    <w:bookmarkEnd w:id="34"/>
    <w:p>
      <w:pPr>
        <w:pStyle w:val="2"/>
        <w:jc w:val="center"/>
      </w:pPr>
      <w:r>
        <w:rPr>
          <w:sz w:val="24"/>
        </w:rPr>
        <w:t xml:space="preserve">ТРЕБОВАНИЯ</w:t>
      </w:r>
    </w:p>
    <w:p>
      <w:pPr>
        <w:pStyle w:val="2"/>
        <w:jc w:val="center"/>
      </w:pPr>
      <w:r>
        <w:rPr>
          <w:sz w:val="24"/>
        </w:rPr>
        <w:t xml:space="preserve">К МЕРОПРИЯТИЯМ ПО СНИЖЕНИЮ ВЫБРОСОВ ЗАГРЯЗНЯЮЩИХ</w:t>
      </w:r>
    </w:p>
    <w:p>
      <w:pPr>
        <w:pStyle w:val="2"/>
        <w:jc w:val="center"/>
      </w:pPr>
      <w:r>
        <w:rPr>
          <w:sz w:val="24"/>
        </w:rPr>
        <w:t xml:space="preserve">ВЕЩЕСТВ В АТМОСФЕРНЫЙ ВОЗДУХ В ПЕРИОДЫ НЕБЛАГОПРИЯТНЫХ</w:t>
      </w:r>
    </w:p>
    <w:p>
      <w:pPr>
        <w:pStyle w:val="2"/>
        <w:jc w:val="center"/>
      </w:pPr>
      <w:r>
        <w:rPr>
          <w:sz w:val="24"/>
        </w:rPr>
        <w:t xml:space="preserve">МЕТЕОРОЛОГИЧЕСКИХ УСЛОВИЙ И ИХ ПРОВЕДЕНИЮ ПРИ ПОСТУПЛЕНИИ</w:t>
      </w:r>
    </w:p>
    <w:p>
      <w:pPr>
        <w:pStyle w:val="2"/>
        <w:jc w:val="center"/>
      </w:pPr>
      <w:r>
        <w:rPr>
          <w:sz w:val="24"/>
        </w:rPr>
        <w:t xml:space="preserve">ОБЩИХ ПРОГНОЗОВ НЕБЛАГОПРИЯТНЫХ МЕТЕОРОЛОГИЧЕСКИХ УСЛОВИЙ</w:t>
      </w:r>
    </w:p>
    <w:p>
      <w:pPr>
        <w:pStyle w:val="2"/>
        <w:jc w:val="center"/>
      </w:pPr>
      <w:r>
        <w:rPr>
          <w:sz w:val="24"/>
        </w:rPr>
        <w:t xml:space="preserve">ИЛИ СПЕЦИАЛИЗИРОВАННЫХ ПРОГНОЗОВ НЕБЛАГОПРИЯТНЫХ</w:t>
      </w:r>
    </w:p>
    <w:p>
      <w:pPr>
        <w:pStyle w:val="2"/>
        <w:jc w:val="center"/>
      </w:pPr>
      <w:r>
        <w:rPr>
          <w:sz w:val="24"/>
        </w:rPr>
        <w:t xml:space="preserve">МЕТЕОРОЛОГИЧЕСКИХ УСЛОВИЙ</w:t>
      </w:r>
    </w:p>
    <w:p>
      <w:pPr>
        <w:pStyle w:val="0"/>
        <w:jc w:val="center"/>
      </w:pPr>
      <w:r>
        <w:rPr>
          <w:sz w:val="24"/>
        </w:rPr>
      </w:r>
    </w:p>
    <w:p>
      <w:pPr>
        <w:pStyle w:val="0"/>
        <w:ind w:firstLine="540"/>
        <w:jc w:val="both"/>
      </w:pPr>
      <w:r>
        <w:rPr>
          <w:sz w:val="24"/>
        </w:rPr>
        <w:t xml:space="preserve">1. Настоящие требования применяются к мероприятиям по снижению выбросов загрязняющих веществ в атмосферный воздух (далее - выбросы) в периоды неблагоприятных метеорологических условий (далее - НМУ, мероприятия в периоды НМУ) и их проведению юридическими лицами и индивидуальными предпринимателями, осуществляющими хозяйственную и (или) иную деятельность на объектах, оказывающих негативное воздействие на окружающую среду, I, II и III категорий, определенных в соответствии с законодательством в области охраны окружающей среды &lt;1&gt; (далее - хозяйствующие субъекты, объекты ОНВОС) и имеющих источники выбросов загрязняющих веществ в атмосферный воздух, при поступлении общих прогнозов НМУ или специализированных прогнозов НМУ в порядке, определенном в соответствии с требованиями законодательства в области охраны атмосферного воздуха &lt;2&gt;.</w:t>
      </w:r>
    </w:p>
    <w:p>
      <w:pPr>
        <w:pStyle w:val="0"/>
        <w:spacing w:before="240" w:line-rule="auto"/>
        <w:ind w:firstLine="540"/>
        <w:jc w:val="both"/>
      </w:pPr>
      <w:r>
        <w:rPr>
          <w:sz w:val="24"/>
        </w:rPr>
        <w:t xml:space="preserve">--------------------------------</w:t>
      </w:r>
    </w:p>
    <w:p>
      <w:pPr>
        <w:pStyle w:val="0"/>
        <w:spacing w:before="240" w:line-rule="auto"/>
        <w:ind w:firstLine="540"/>
        <w:jc w:val="both"/>
      </w:pPr>
      <w:r>
        <w:rPr>
          <w:sz w:val="24"/>
        </w:rPr>
        <w:t xml:space="preserve">&lt;1&gt; </w:t>
      </w:r>
      <w:r>
        <w:rPr>
          <w:sz w:val="24"/>
        </w:rPr>
        <w:t xml:space="preserve">Статья 4.2</w:t>
      </w:r>
      <w:r>
        <w:rPr>
          <w:sz w:val="24"/>
        </w:rPr>
        <w:t xml:space="preserve"> Федерального закона от 10.01.2002 N 7-ФЗ "Об охране окружающей среды" (далее - Федеральный закон N 7-ФЗ).</w:t>
      </w:r>
    </w:p>
    <w:p>
      <w:pPr>
        <w:pStyle w:val="0"/>
        <w:spacing w:before="240" w:line-rule="auto"/>
        <w:ind w:firstLine="540"/>
        <w:jc w:val="both"/>
      </w:pPr>
      <w:r>
        <w:rPr>
          <w:sz w:val="24"/>
        </w:rPr>
        <w:t xml:space="preserve">&lt;2&gt; </w:t>
      </w:r>
      <w:r>
        <w:rPr>
          <w:sz w:val="24"/>
        </w:rPr>
        <w:t xml:space="preserve">Подпункты 3</w:t>
      </w:r>
      <w:r>
        <w:rPr>
          <w:sz w:val="24"/>
        </w:rPr>
        <w:t xml:space="preserve"> и </w:t>
      </w:r>
      <w:r>
        <w:rPr>
          <w:sz w:val="24"/>
        </w:rPr>
        <w:t xml:space="preserve">4 пункта 12 статьи 19</w:t>
      </w:r>
      <w:r>
        <w:rPr>
          <w:sz w:val="24"/>
        </w:rPr>
        <w:t xml:space="preserve"> Федерального закона от 04.05.1999 N 96-ФЗ "Об охране атмосферного воздуха" (далее - Федеральный закон N 96-ФЗ).</w:t>
      </w:r>
    </w:p>
    <w:p>
      <w:pPr>
        <w:pStyle w:val="0"/>
        <w:ind w:firstLine="540"/>
        <w:jc w:val="both"/>
      </w:pPr>
      <w:r>
        <w:rPr>
          <w:sz w:val="24"/>
        </w:rPr>
      </w:r>
    </w:p>
    <w:p>
      <w:pPr>
        <w:pStyle w:val="0"/>
        <w:ind w:firstLine="540"/>
        <w:jc w:val="both"/>
      </w:pPr>
      <w:r>
        <w:rPr>
          <w:sz w:val="24"/>
        </w:rPr>
        <w:t xml:space="preserve">2. Мероприятия в периоды НМУ проводятся хозяйствующими субъектами для отдельного стационарного источника выбросов и (или) их совокупности (далее - источники выбросов) объекта ОНВОС исходя из характеристик источников выбросов.</w:t>
      </w:r>
    </w:p>
    <w:bookmarkStart w:id="48" w:name="P48"/>
    <w:bookmarkEnd w:id="48"/>
    <w:p>
      <w:pPr>
        <w:pStyle w:val="0"/>
        <w:spacing w:before="240" w:line-rule="auto"/>
        <w:ind w:firstLine="540"/>
        <w:jc w:val="both"/>
      </w:pPr>
      <w:r>
        <w:rPr>
          <w:sz w:val="24"/>
        </w:rPr>
        <w:t xml:space="preserve">3. Мероприятия в периоды НМУ проводятся в отношении загрязняющих веществ, входящих в состав выбросов объекта ОНВОС в соответствии с отчетом о проведенной инвентаризации стационарных источников и выбросов, подготовленным и утвержденным в соответствии с </w:t>
      </w:r>
      <w:r>
        <w:rPr>
          <w:sz w:val="24"/>
        </w:rPr>
        <w:t xml:space="preserve">Порядком</w:t>
      </w:r>
      <w:r>
        <w:rPr>
          <w:sz w:val="24"/>
        </w:rPr>
        <w:t xml:space="preserve"> проведения инвентаризации стационарных источников и выбросов загрязняющих веществ в атмосферный воздух, корректировки ее данных, документирования и хранения данных, полученных в результате проведения таких инвентаризации и корректировки, утвержденным приказом Минприроды России от 19.11.2021 N 871 &lt;3&gt; (при наличии), либо отраженных в проектной документации для строящихся, вводимых в эксплуатацию новых и (или) реконструированных объектов ОНВОС, и включенных в </w:t>
      </w:r>
      <w:r>
        <w:rPr>
          <w:sz w:val="24"/>
        </w:rPr>
        <w:t xml:space="preserve">перечень</w:t>
      </w:r>
      <w:r>
        <w:rPr>
          <w:sz w:val="24"/>
        </w:rPr>
        <w:t xml:space="preserve"> загрязняющих веществ, в отношении которых применяются меры государственного регулирования в области охраны окружающей среды, утвержденный распоряжением Правительства Российской Федерации от 20.10.2023 N 2909-р, расчетные приземные концентрации которых при их увеличении на значения, указанные в </w:t>
      </w:r>
      <w:hyperlink w:history="0" w:anchor="P67" w:tooltip="10. Мероприятия в периоды НМУ, реализуемые при поступлении общих прогнозов НМУ в порядке, определенном в соответствии с пунктом 5 статьи 19 Федерального закона N 96-ФЗ, включенные в План мероприятий, должны обеспечивать снижение вкладов в приземные концентрации контролируемых веществ, создаваемых выбросами источников выбросов объекта ОНВОС, для рассматриваемой контрольной точки не менее чем:">
        <w:r>
          <w:rPr>
            <w:sz w:val="24"/>
            <w:color w:val="0000ff"/>
          </w:rPr>
          <w:t xml:space="preserve">пунктах 10</w:t>
        </w:r>
      </w:hyperlink>
      <w:r>
        <w:rPr>
          <w:sz w:val="24"/>
        </w:rPr>
        <w:t xml:space="preserve">, </w:t>
      </w:r>
      <w:hyperlink w:history="0" w:anchor="P71" w:tooltip="12. Мероприятия, реализуемые при поступлении специализированного прогноза НМУ, включенные в План мероприятий, должны обеспечивать снижение вкладов в приземные концентрации контролируемых веществ, создаваемых выбросами источников выбросов объекта ОНВОС, за исключением случаев, предусмотренных в пункте 13 настоящих требований, для рассматриваемой контрольной точки не менее чем на:">
        <w:r>
          <w:rPr>
            <w:sz w:val="24"/>
            <w:color w:val="0000ff"/>
          </w:rPr>
          <w:t xml:space="preserve">12</w:t>
        </w:r>
      </w:hyperlink>
      <w:r>
        <w:rPr>
          <w:sz w:val="24"/>
        </w:rPr>
        <w:t xml:space="preserve"> и </w:t>
      </w:r>
      <w:hyperlink w:history="0" w:anchor="P75" w:tooltip="13. Для объектов ОНВОС, на которых осуществляются регулируемые виды деятельности в сферах электроснабжения, газоснабжения, теплоснабжения, водоснабжения, водоотведения, обращения с твердыми коммунальными отходами, в период НМУ в соответствии со степенями НМУ устанавливаются режимы работы, обеспечивающие непрерывность осуществления хозяйственной и (или) иной деятельности, в том числе, не допускающий введение полного или частичного ограничения режима потребления электрической энергии потребителями электрич...">
        <w:r>
          <w:rPr>
            <w:sz w:val="24"/>
            <w:color w:val="0000ff"/>
          </w:rPr>
          <w:t xml:space="preserve">13</w:t>
        </w:r>
      </w:hyperlink>
      <w:r>
        <w:rPr>
          <w:sz w:val="24"/>
        </w:rPr>
        <w:t xml:space="preserve"> настоящих требований, в контрольных точках, соответствующих точкам формирования наибольших приземных концентраций на границе и на территории жилой зоны и зон, к которым предъявляются санитарно-эпидемиологические требования к атмосферному воздуху &lt;4&gt; (далее - контрольные точки), превысят предельно допустимые концентрации (далее - контролируемые вещества).</w:t>
      </w:r>
    </w:p>
    <w:p>
      <w:pPr>
        <w:pStyle w:val="0"/>
        <w:spacing w:before="240" w:line-rule="auto"/>
        <w:ind w:firstLine="540"/>
        <w:jc w:val="both"/>
      </w:pPr>
      <w:r>
        <w:rPr>
          <w:sz w:val="24"/>
        </w:rPr>
        <w:t xml:space="preserve">--------------------------------</w:t>
      </w:r>
    </w:p>
    <w:p>
      <w:pPr>
        <w:pStyle w:val="0"/>
        <w:spacing w:before="240" w:line-rule="auto"/>
        <w:ind w:firstLine="540"/>
        <w:jc w:val="both"/>
      </w:pPr>
      <w:r>
        <w:rPr>
          <w:sz w:val="24"/>
        </w:rPr>
        <w:t xml:space="preserve">&lt;3&gt; Зарегистрирован Минюстом России 30.11.2021, регистрационный N 66125. Действует до 01.03.2028.</w:t>
      </w:r>
    </w:p>
    <w:p>
      <w:pPr>
        <w:pStyle w:val="0"/>
        <w:spacing w:before="240" w:line-rule="auto"/>
        <w:ind w:firstLine="540"/>
        <w:jc w:val="both"/>
      </w:pPr>
      <w:r>
        <w:rPr>
          <w:sz w:val="24"/>
        </w:rPr>
        <w:t xml:space="preserve">&lt;4&gt; </w:t>
      </w:r>
      <w:r>
        <w:rPr>
          <w:sz w:val="24"/>
        </w:rPr>
        <w:t xml:space="preserve">Пункт 70</w:t>
      </w:r>
      <w:r>
        <w:rPr>
          <w:sz w:val="24"/>
        </w:rPr>
        <w:t xml:space="preserve"> Санитарно-эпидемиологических требований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 утвержденных постановлением Главного государственного санитарного врача Российской Федерации от 28.01.2021 N 3 (зарегистрировано Минюстом России 29.01.2021, регистрационный N 62297), с изменениями, внесенными постановлениями Главного государственного санитарного врача Российской Федерации от 26.06.2021 N 16 (зарегистрировано Минюстом России 07.07.2021, регистрационный N 64146); от 14.12.2021 N 37 (зарегистрировано Минюстом России 30.12.2021, регистрационный N 66692); от 14.02.2022 N 6 (зарегистрировано Минюстом России 17.02.2022, регистрационный N 67331); от 15.11.2024 N 11 (зарегистрировано Минюстом России 27.12.2024, регистрационный N 80808); 17.06.2025 N 10 (зарегистрировано Минюстом России 24.07.2025, регистрационный N 83049); от 25.06.2025 N 13 (зарегистрировано Минюстом России 25.07.2025, регистрационный N 83059). Действует до 01.03.2027.</w:t>
      </w:r>
    </w:p>
    <w:p>
      <w:pPr>
        <w:pStyle w:val="0"/>
        <w:ind w:firstLine="540"/>
        <w:jc w:val="both"/>
      </w:pPr>
      <w:r>
        <w:rPr>
          <w:sz w:val="24"/>
        </w:rPr>
      </w:r>
    </w:p>
    <w:p>
      <w:pPr>
        <w:pStyle w:val="0"/>
        <w:ind w:firstLine="540"/>
        <w:jc w:val="both"/>
      </w:pPr>
      <w:r>
        <w:rPr>
          <w:sz w:val="24"/>
        </w:rPr>
        <w:t xml:space="preserve">Для определения контролируемых веществ, снижение концентрации которых предполагается достичь при проведении мероприятий в периоды НМУ, проводится анализ результатов расчетов рассеивания выбросов, выполненных в соответствии с </w:t>
      </w:r>
      <w:r>
        <w:rPr>
          <w:sz w:val="24"/>
        </w:rPr>
        <w:t xml:space="preserve">методами</w:t>
      </w:r>
      <w:r>
        <w:rPr>
          <w:sz w:val="24"/>
        </w:rPr>
        <w:t xml:space="preserve"> расчетов рассеивания выбросов вредных (загрязняющих) веществ в атмосферном воздухе, утвержденными приказом Минприроды России от 06.06.2017 N 273 &lt;5&gt;, и с учетом требований </w:t>
      </w:r>
      <w:r>
        <w:rPr>
          <w:sz w:val="24"/>
        </w:rPr>
        <w:t xml:space="preserve">пункта 35</w:t>
      </w:r>
      <w:r>
        <w:rPr>
          <w:sz w:val="24"/>
        </w:rPr>
        <w:t xml:space="preserve"> методики разработки (расчета) и установления нормативов допустимых выбросов загрязняющих веществ в атмосферный воздух, утвержденной приказом Минприроды России от 11.08.2020 N 581 &lt;6&gt; (далее - результаты расчетов рассеивания выбросов), от источников выбросов объектов ОНВОС, определяются значения и контрольные точки, а также рассчитываются вклады выбросов конкретных стационарных источников в приземные концентрации в контрольных точках (в % от суммарной концентрации в рассматриваемой контрольной точке).</w:t>
      </w:r>
    </w:p>
    <w:p>
      <w:pPr>
        <w:pStyle w:val="0"/>
        <w:spacing w:before="240" w:line-rule="auto"/>
        <w:ind w:firstLine="540"/>
        <w:jc w:val="both"/>
      </w:pPr>
      <w:r>
        <w:rPr>
          <w:sz w:val="24"/>
        </w:rPr>
        <w:t xml:space="preserve">--------------------------------</w:t>
      </w:r>
    </w:p>
    <w:p>
      <w:pPr>
        <w:pStyle w:val="0"/>
        <w:spacing w:before="240" w:line-rule="auto"/>
        <w:ind w:firstLine="540"/>
        <w:jc w:val="both"/>
      </w:pPr>
      <w:r>
        <w:rPr>
          <w:sz w:val="24"/>
        </w:rPr>
        <w:t xml:space="preserve">&lt;5&gt; Зарегистрирован Минюстом России 10.08.2017, регистрационный N 47734.</w:t>
      </w:r>
    </w:p>
    <w:p>
      <w:pPr>
        <w:pStyle w:val="0"/>
        <w:spacing w:before="240" w:line-rule="auto"/>
        <w:ind w:firstLine="540"/>
        <w:jc w:val="both"/>
      </w:pPr>
      <w:r>
        <w:rPr>
          <w:sz w:val="24"/>
        </w:rPr>
        <w:t xml:space="preserve">&lt;6&gt; Зарегистрирован Минюстом России 30.12.2020, регистрационный N 61944. Действует до 01.07.2027.</w:t>
      </w:r>
    </w:p>
    <w:p>
      <w:pPr>
        <w:pStyle w:val="0"/>
        <w:ind w:firstLine="540"/>
        <w:jc w:val="both"/>
      </w:pPr>
      <w:r>
        <w:rPr>
          <w:sz w:val="24"/>
        </w:rPr>
      </w:r>
    </w:p>
    <w:bookmarkStart w:id="58" w:name="P58"/>
    <w:bookmarkEnd w:id="58"/>
    <w:p>
      <w:pPr>
        <w:pStyle w:val="0"/>
        <w:ind w:firstLine="540"/>
        <w:jc w:val="both"/>
      </w:pPr>
      <w:r>
        <w:rPr>
          <w:sz w:val="24"/>
        </w:rPr>
        <w:t xml:space="preserve">4. Мероприятия в периоды НМУ проводятся на источниках выбросов объекта ОНВОС, в составе выбросов которых содержатся контролируемые вещества по результатам расчетов рассеивания выбросов.</w:t>
      </w:r>
    </w:p>
    <w:p>
      <w:pPr>
        <w:pStyle w:val="0"/>
        <w:spacing w:before="240" w:line-rule="auto"/>
        <w:ind w:firstLine="540"/>
        <w:jc w:val="both"/>
      </w:pPr>
      <w:r>
        <w:rPr>
          <w:sz w:val="24"/>
        </w:rPr>
        <w:t xml:space="preserve">5. В случае если в связи с непрерывностью, особенностями технологического процесса, для конкретного источника выбросов отсутствует возможность снижения выбросов в объеме, определенном в </w:t>
      </w:r>
      <w:hyperlink w:history="0" w:anchor="P67" w:tooltip="10. Мероприятия в периоды НМУ, реализуемые при поступлении общих прогнозов НМУ в порядке, определенном в соответствии с пунктом 5 статьи 19 Федерального закона N 96-ФЗ, включенные в План мероприятий, должны обеспечивать снижение вкладов в приземные концентрации контролируемых веществ, создаваемых выбросами источников выбросов объекта ОНВОС, для рассматриваемой контрольной точки не менее чем:">
        <w:r>
          <w:rPr>
            <w:sz w:val="24"/>
            <w:color w:val="0000ff"/>
          </w:rPr>
          <w:t xml:space="preserve">пунктах 10</w:t>
        </w:r>
      </w:hyperlink>
      <w:r>
        <w:rPr>
          <w:sz w:val="24"/>
        </w:rPr>
        <w:t xml:space="preserve">, </w:t>
      </w:r>
      <w:hyperlink w:history="0" w:anchor="P71" w:tooltip="12. Мероприятия, реализуемые при поступлении специализированного прогноза НМУ, включенные в План мероприятий, должны обеспечивать снижение вкладов в приземные концентрации контролируемых веществ, создаваемых выбросами источников выбросов объекта ОНВОС, за исключением случаев, предусмотренных в пункте 13 настоящих требований, для рассматриваемой контрольной точки не менее чем на:">
        <w:r>
          <w:rPr>
            <w:sz w:val="24"/>
            <w:color w:val="0000ff"/>
          </w:rPr>
          <w:t xml:space="preserve">12</w:t>
        </w:r>
      </w:hyperlink>
      <w:r>
        <w:rPr>
          <w:sz w:val="24"/>
        </w:rPr>
        <w:t xml:space="preserve"> и </w:t>
      </w:r>
      <w:hyperlink w:history="0" w:anchor="P75" w:tooltip="13. Для объектов ОНВОС, на которых осуществляются регулируемые виды деятельности в сферах электроснабжения, газоснабжения, теплоснабжения, водоснабжения, водоотведения, обращения с твердыми коммунальными отходами, в период НМУ в соответствии со степенями НМУ устанавливаются режимы работы, обеспечивающие непрерывность осуществления хозяйственной и (или) иной деятельности, в том числе, не допускающий введение полного или частичного ограничения режима потребления электрической энергии потребителями электрич...">
        <w:r>
          <w:rPr>
            <w:sz w:val="24"/>
            <w:color w:val="0000ff"/>
          </w:rPr>
          <w:t xml:space="preserve">13</w:t>
        </w:r>
      </w:hyperlink>
      <w:r>
        <w:rPr>
          <w:sz w:val="24"/>
        </w:rPr>
        <w:t xml:space="preserve"> настоящих требований, посредством перехода на технологические процессы, снижающие выпуск продукции, товаров, оказываемых услуг с учетом необходимости осуществления промышленной и энергетической безопасностей производств, указанное снижение выбросов должно обеспечиваться за счет снижения выбросов контролируемых веществ на других источниках выбросов данного объекта ОНВОС, технологические процессы на которых позволяют осуществить снижение выбросов (при их наличии).</w:t>
      </w:r>
    </w:p>
    <w:p>
      <w:pPr>
        <w:pStyle w:val="0"/>
        <w:spacing w:before="240" w:line-rule="auto"/>
        <w:ind w:firstLine="540"/>
        <w:jc w:val="both"/>
      </w:pPr>
      <w:r>
        <w:rPr>
          <w:sz w:val="24"/>
        </w:rPr>
        <w:t xml:space="preserve">6. Для объектов ОНВОС, на которых осуществляются регулируемые виды деятельности в сферах электроснабжения, газоснабжения, теплоснабжения, водоснабжения, водоотведения, обращения с твердыми коммунальными отходами, мероприятия в периоды НМУ не должны приводить к аварийным ситуациям в системах тепло- и электроснабжения, нарушающим надежность и безопасность функционирования указанных систем, а также приводящих к массовому ограничению режима потребления электрической и тепловой энергии.</w:t>
      </w:r>
    </w:p>
    <w:p>
      <w:pPr>
        <w:pStyle w:val="0"/>
        <w:spacing w:before="240" w:line-rule="auto"/>
        <w:ind w:firstLine="540"/>
        <w:jc w:val="both"/>
      </w:pPr>
      <w:r>
        <w:rPr>
          <w:sz w:val="24"/>
        </w:rPr>
        <w:t xml:space="preserve">7. В отношении контролируемых веществ и источников выбросов объекта ОНВОС, определенных в соответствии с </w:t>
      </w:r>
      <w:hyperlink w:history="0" w:anchor="P48" w:tooltip="3. Мероприятия в периоды НМУ проводятся в отношении загрязняющих веществ, входящих в состав выбросов объекта ОНВОС в соответствии с отчетом о проведенной инвентаризации стационарных источников и выбросов, подготовленным и утвержденным в соответствии с Порядком проведения инвентаризации стационарных источников и выбросов загрязняющих веществ в атмосферный воздух, корректировки ее данных, документирования и хранения данных, полученных в результате проведения таких инвентаризации и корректировки, утвержденн...">
        <w:r>
          <w:rPr>
            <w:sz w:val="24"/>
            <w:color w:val="0000ff"/>
          </w:rPr>
          <w:t xml:space="preserve">пунктами 3</w:t>
        </w:r>
      </w:hyperlink>
      <w:r>
        <w:rPr>
          <w:sz w:val="24"/>
        </w:rPr>
        <w:t xml:space="preserve"> и </w:t>
      </w:r>
      <w:hyperlink w:history="0" w:anchor="P58" w:tooltip="4. Мероприятия в периоды НМУ проводятся на источниках выбросов объекта ОНВОС, в составе выбросов которых содержатся контролируемые вещества по результатам расчетов рассеивания выбросов.">
        <w:r>
          <w:rPr>
            <w:sz w:val="24"/>
            <w:color w:val="0000ff"/>
          </w:rPr>
          <w:t xml:space="preserve">4</w:t>
        </w:r>
      </w:hyperlink>
      <w:r>
        <w:rPr>
          <w:sz w:val="24"/>
        </w:rPr>
        <w:t xml:space="preserve"> настоящих требований, разрабатываются мероприятия в периоды НМУ с учетом необходимости соблюдения условий к их проведению, указанных в </w:t>
      </w:r>
      <w:hyperlink w:history="0" w:anchor="P67" w:tooltip="10. Мероприятия в периоды НМУ, реализуемые при поступлении общих прогнозов НМУ в порядке, определенном в соответствии с пунктом 5 статьи 19 Федерального закона N 96-ФЗ, включенные в План мероприятий, должны обеспечивать снижение вкладов в приземные концентрации контролируемых веществ, создаваемых выбросами источников выбросов объекта ОНВОС, для рассматриваемой контрольной точки не менее чем:">
        <w:r>
          <w:rPr>
            <w:sz w:val="24"/>
            <w:color w:val="0000ff"/>
          </w:rPr>
          <w:t xml:space="preserve">пунктах 10</w:t>
        </w:r>
      </w:hyperlink>
      <w:r>
        <w:rPr>
          <w:sz w:val="24"/>
        </w:rPr>
        <w:t xml:space="preserve">, </w:t>
      </w:r>
      <w:hyperlink w:history="0" w:anchor="P71" w:tooltip="12. Мероприятия, реализуемые при поступлении специализированного прогноза НМУ, включенные в План мероприятий, должны обеспечивать снижение вкладов в приземные концентрации контролируемых веществ, создаваемых выбросами источников выбросов объекта ОНВОС, за исключением случаев, предусмотренных в пункте 13 настоящих требований, для рассматриваемой контрольной точки не менее чем на:">
        <w:r>
          <w:rPr>
            <w:sz w:val="24"/>
            <w:color w:val="0000ff"/>
          </w:rPr>
          <w:t xml:space="preserve">12</w:t>
        </w:r>
      </w:hyperlink>
      <w:r>
        <w:rPr>
          <w:sz w:val="24"/>
        </w:rPr>
        <w:t xml:space="preserve"> и </w:t>
      </w:r>
      <w:hyperlink w:history="0" w:anchor="P75" w:tooltip="13. Для объектов ОНВОС, на которых осуществляются регулируемые виды деятельности в сферах электроснабжения, газоснабжения, теплоснабжения, водоснабжения, водоотведения, обращения с твердыми коммунальными отходами, в период НМУ в соответствии со степенями НМУ устанавливаются режимы работы, обеспечивающие непрерывность осуществления хозяйственной и (или) иной деятельности, в том числе, не допускающий введение полного или частичного ограничения режима потребления электрической энергии потребителями электрич...">
        <w:r>
          <w:rPr>
            <w:sz w:val="24"/>
            <w:color w:val="0000ff"/>
          </w:rPr>
          <w:t xml:space="preserve">13</w:t>
        </w:r>
      </w:hyperlink>
      <w:r>
        <w:rPr>
          <w:sz w:val="24"/>
        </w:rPr>
        <w:t xml:space="preserve"> настоящих требований, включаемые в план мероприятий по снижению выбросов в периоды НМУ (далее - План мероприятий) &lt;7&gt;.</w:t>
      </w:r>
    </w:p>
    <w:p>
      <w:pPr>
        <w:pStyle w:val="0"/>
        <w:spacing w:before="240" w:line-rule="auto"/>
        <w:ind w:firstLine="540"/>
        <w:jc w:val="both"/>
      </w:pPr>
      <w:r>
        <w:rPr>
          <w:sz w:val="24"/>
        </w:rPr>
        <w:t xml:space="preserve">--------------------------------</w:t>
      </w:r>
    </w:p>
    <w:p>
      <w:pPr>
        <w:pStyle w:val="0"/>
        <w:spacing w:before="240" w:line-rule="auto"/>
        <w:ind w:firstLine="540"/>
        <w:jc w:val="both"/>
      </w:pPr>
      <w:r>
        <w:rPr>
          <w:sz w:val="24"/>
        </w:rPr>
        <w:t xml:space="preserve">&lt;7&gt; </w:t>
      </w:r>
      <w:r>
        <w:rPr>
          <w:sz w:val="24"/>
        </w:rPr>
        <w:t xml:space="preserve">Подпункт 2 пункта 12 статьи 19</w:t>
      </w:r>
      <w:r>
        <w:rPr>
          <w:sz w:val="24"/>
        </w:rPr>
        <w:t xml:space="preserve"> Федерального закона N 96-ФЗ.</w:t>
      </w:r>
    </w:p>
    <w:p>
      <w:pPr>
        <w:pStyle w:val="0"/>
        <w:ind w:firstLine="540"/>
        <w:jc w:val="both"/>
      </w:pPr>
      <w:r>
        <w:rPr>
          <w:sz w:val="24"/>
        </w:rPr>
      </w:r>
    </w:p>
    <w:p>
      <w:pPr>
        <w:pStyle w:val="0"/>
        <w:ind w:firstLine="540"/>
        <w:jc w:val="both"/>
      </w:pPr>
      <w:r>
        <w:rPr>
          <w:sz w:val="24"/>
        </w:rPr>
        <w:t xml:space="preserve">8. В целях организации работ по реализации мероприятий в периоды НМУ на объекте ОНВОС по решению хозяйствующего субъекта в каждом структурном подразделении объекта ОНВОС (при наличии) назначаются ответственные лица, отвечающие за реализацию мероприятий в периоды НМУ.</w:t>
      </w:r>
    </w:p>
    <w:p>
      <w:pPr>
        <w:pStyle w:val="0"/>
        <w:spacing w:before="240" w:line-rule="auto"/>
        <w:ind w:firstLine="540"/>
        <w:jc w:val="both"/>
      </w:pPr>
      <w:r>
        <w:rPr>
          <w:sz w:val="24"/>
        </w:rPr>
        <w:t xml:space="preserve">9. При проведении мероприятий в периоды НМУ на объектах ОНВОС соблюдаются технологические регламенты работ всех производств, оборудования и установок, а также запрещаются остановки газопылеулавливающих сооружений для выполнения профилактических работ, залповые выбросы вредных веществ в атмосферный воздух (кроме случаев, когда уже проводятся технологические операции по подготовке к проведению залповых выбросов), запрещается проведение пусконаладочных работ и испытаний оборудования.</w:t>
      </w:r>
    </w:p>
    <w:bookmarkStart w:id="67" w:name="P67"/>
    <w:bookmarkEnd w:id="67"/>
    <w:p>
      <w:pPr>
        <w:pStyle w:val="0"/>
        <w:spacing w:before="240" w:line-rule="auto"/>
        <w:ind w:firstLine="540"/>
        <w:jc w:val="both"/>
      </w:pPr>
      <w:r>
        <w:rPr>
          <w:sz w:val="24"/>
        </w:rPr>
        <w:t xml:space="preserve">10. Мероприятия в периоды НМУ, реализуемые при поступлении общих прогнозов НМУ в порядке, определенном в соответствии с </w:t>
      </w:r>
      <w:r>
        <w:rPr>
          <w:sz w:val="24"/>
        </w:rPr>
        <w:t xml:space="preserve">пунктом 5 статьи 19</w:t>
      </w:r>
      <w:r>
        <w:rPr>
          <w:sz w:val="24"/>
        </w:rPr>
        <w:t xml:space="preserve"> Федерального закона N 96-ФЗ, включенные в План мероприятий, должны обеспечивать снижение вкладов в приземные концентрации контролируемых веществ, создаваемых выбросами источников выбросов объекта ОНВОС, для рассматриваемой контрольной точки не менее чем:</w:t>
      </w:r>
    </w:p>
    <w:bookmarkStart w:id="68" w:name="P68"/>
    <w:bookmarkEnd w:id="68"/>
    <w:p>
      <w:pPr>
        <w:pStyle w:val="0"/>
        <w:spacing w:before="240" w:line-rule="auto"/>
        <w:ind w:firstLine="540"/>
        <w:jc w:val="both"/>
      </w:pPr>
      <w:r>
        <w:rPr>
          <w:sz w:val="24"/>
        </w:rPr>
        <w:t xml:space="preserve">на 15% в период НМУ для объектов ОНВОС, на которых осуществляются регулируемые виды деятельности в сферах электроснабжения, газоснабжения, теплоснабжения, водоснабжения, водоотведения, обращения с твердыми коммунальными отходами;</w:t>
      </w:r>
    </w:p>
    <w:p>
      <w:pPr>
        <w:pStyle w:val="0"/>
        <w:spacing w:before="240" w:line-rule="auto"/>
        <w:ind w:firstLine="540"/>
        <w:jc w:val="both"/>
      </w:pPr>
      <w:r>
        <w:rPr>
          <w:sz w:val="24"/>
        </w:rPr>
        <w:t xml:space="preserve">на 20% в период НМУ для объектов ОНВОС, не указанных в </w:t>
      </w:r>
      <w:hyperlink w:history="0" w:anchor="P68" w:tooltip="на 15% в период НМУ для объектов ОНВОС, на которых осуществляются регулируемые виды деятельности в сферах электроснабжения, газоснабжения, теплоснабжения, водоснабжения, водоотведения, обращения с твердыми коммунальными отходами;">
        <w:r>
          <w:rPr>
            <w:sz w:val="24"/>
            <w:color w:val="0000ff"/>
          </w:rPr>
          <w:t xml:space="preserve">абзаце втором</w:t>
        </w:r>
      </w:hyperlink>
      <w:r>
        <w:rPr>
          <w:sz w:val="24"/>
        </w:rPr>
        <w:t xml:space="preserve"> настоящего пункта.</w:t>
      </w:r>
    </w:p>
    <w:p>
      <w:pPr>
        <w:pStyle w:val="0"/>
        <w:spacing w:before="240" w:line-rule="auto"/>
        <w:ind w:firstLine="540"/>
        <w:jc w:val="both"/>
      </w:pPr>
      <w:r>
        <w:rPr>
          <w:sz w:val="24"/>
        </w:rPr>
        <w:t xml:space="preserve">11. При поступлении специализированных прогнозов НМУ для хозяйствующих субъектов, указанных в </w:t>
      </w:r>
      <w:r>
        <w:rPr>
          <w:sz w:val="24"/>
        </w:rPr>
        <w:t xml:space="preserve">пунктах 8</w:t>
      </w:r>
      <w:r>
        <w:rPr>
          <w:sz w:val="24"/>
        </w:rPr>
        <w:t xml:space="preserve"> и </w:t>
      </w:r>
      <w:r>
        <w:rPr>
          <w:sz w:val="24"/>
        </w:rPr>
        <w:t xml:space="preserve">10 статьи 19</w:t>
      </w:r>
      <w:r>
        <w:rPr>
          <w:sz w:val="24"/>
        </w:rPr>
        <w:t xml:space="preserve"> Федерального закона N 96-ФЗ, мероприятия в периоды НМУ на стационарных источниках выбросов загрязняющих веществ объекта ОНВОС или их совокупности, в отношении которых подготовлен специализированный прогноз НМУ, содержащий информацию об определенной федеральными государственными бюджетными учреждениями, подведомственными Федеральной службе по гидрометеорологии и мониторингу окружающей среды, степени НМУ, реализуются в соответствии со специализированным прогнозом НМУ.</w:t>
      </w:r>
    </w:p>
    <w:bookmarkStart w:id="71" w:name="P71"/>
    <w:bookmarkEnd w:id="71"/>
    <w:p>
      <w:pPr>
        <w:pStyle w:val="0"/>
        <w:spacing w:before="240" w:line-rule="auto"/>
        <w:ind w:firstLine="540"/>
        <w:jc w:val="both"/>
      </w:pPr>
      <w:r>
        <w:rPr>
          <w:sz w:val="24"/>
        </w:rPr>
        <w:t xml:space="preserve">12. Мероприятия, реализуемые при поступлении специализированного прогноза НМУ, включенные в План мероприятий, должны обеспечивать снижение вкладов в приземные концентрации контролируемых веществ, создаваемых выбросами источников выбросов объекта ОНВОС, за исключением случаев, предусмотренных в </w:t>
      </w:r>
      <w:hyperlink w:history="0" w:anchor="P75" w:tooltip="13. Для объектов ОНВОС, на которых осуществляются регулируемые виды деятельности в сферах электроснабжения, газоснабжения, теплоснабжения, водоснабжения, водоотведения, обращения с твердыми коммунальными отходами, в период НМУ в соответствии со степенями НМУ устанавливаются режимы работы, обеспечивающие непрерывность осуществления хозяйственной и (или) иной деятельности, в том числе, не допускающий введение полного или частичного ограничения режима потребления электрической энергии потребителями электрич...">
        <w:r>
          <w:rPr>
            <w:sz w:val="24"/>
            <w:color w:val="0000ff"/>
          </w:rPr>
          <w:t xml:space="preserve">пункте 13</w:t>
        </w:r>
      </w:hyperlink>
      <w:r>
        <w:rPr>
          <w:sz w:val="24"/>
        </w:rPr>
        <w:t xml:space="preserve"> настоящих требований, для рассматриваемой контрольной точки не менее чем на:</w:t>
      </w:r>
    </w:p>
    <w:p>
      <w:pPr>
        <w:pStyle w:val="0"/>
        <w:spacing w:before="240" w:line-rule="auto"/>
        <w:ind w:firstLine="540"/>
        <w:jc w:val="both"/>
      </w:pPr>
      <w:r>
        <w:rPr>
          <w:sz w:val="24"/>
        </w:rPr>
        <w:t xml:space="preserve">на 15% при НМУ 1 степени, присваиваемой в порядке, утвержденном в соответствии с </w:t>
      </w:r>
      <w:r>
        <w:rPr>
          <w:sz w:val="24"/>
        </w:rPr>
        <w:t xml:space="preserve">подпунктом 4 пункта 12 статьи 19</w:t>
      </w:r>
      <w:r>
        <w:rPr>
          <w:sz w:val="24"/>
        </w:rPr>
        <w:t xml:space="preserve"> Федерального закона N 96-ФЗ;</w:t>
      </w:r>
    </w:p>
    <w:p>
      <w:pPr>
        <w:pStyle w:val="0"/>
        <w:spacing w:before="240" w:line-rule="auto"/>
        <w:ind w:firstLine="540"/>
        <w:jc w:val="both"/>
      </w:pPr>
      <w:r>
        <w:rPr>
          <w:sz w:val="24"/>
        </w:rPr>
        <w:t xml:space="preserve">на 20% при НМУ 2 степени, присваиваемой в порядке, утвержденном в соответствии с </w:t>
      </w:r>
      <w:r>
        <w:rPr>
          <w:sz w:val="24"/>
        </w:rPr>
        <w:t xml:space="preserve">подпунктом 4 пункта 12 статьи 19</w:t>
      </w:r>
      <w:r>
        <w:rPr>
          <w:sz w:val="24"/>
        </w:rPr>
        <w:t xml:space="preserve"> Федерального закона N 96-ФЗ;</w:t>
      </w:r>
    </w:p>
    <w:p>
      <w:pPr>
        <w:pStyle w:val="0"/>
        <w:spacing w:before="240" w:line-rule="auto"/>
        <w:ind w:firstLine="540"/>
        <w:jc w:val="both"/>
      </w:pPr>
      <w:r>
        <w:rPr>
          <w:sz w:val="24"/>
        </w:rPr>
        <w:t xml:space="preserve">на 40% при НМУ 3 степени, присваиваемой в порядке, утвержденном в соответствии с </w:t>
      </w:r>
      <w:r>
        <w:rPr>
          <w:sz w:val="24"/>
        </w:rPr>
        <w:t xml:space="preserve">подпунктом 4 пункта 12 статьи 19</w:t>
      </w:r>
      <w:r>
        <w:rPr>
          <w:sz w:val="24"/>
        </w:rPr>
        <w:t xml:space="preserve"> Федерального закона N 96-ФЗ.</w:t>
      </w:r>
    </w:p>
    <w:bookmarkStart w:id="75" w:name="P75"/>
    <w:bookmarkEnd w:id="75"/>
    <w:p>
      <w:pPr>
        <w:pStyle w:val="0"/>
        <w:spacing w:before="240" w:line-rule="auto"/>
        <w:ind w:firstLine="540"/>
        <w:jc w:val="both"/>
      </w:pPr>
      <w:r>
        <w:rPr>
          <w:sz w:val="24"/>
        </w:rPr>
        <w:t xml:space="preserve">13. Для объектов ОНВОС, на которых осуществляются регулируемые виды деятельности в сферах электроснабжения, газоснабжения, теплоснабжения, водоснабжения, водоотведения, обращения с твердыми коммунальными отходами, в период НМУ в соответствии со степенями НМУ устанавливаются режимы работы, обеспечивающие непрерывность осуществления хозяйственной и (или) иной деятельности, в том числе, не допускающий введение полного или частичного ограничения режима потребления электрической энергии потребителями электрической энергии (мощности) или понижение температуры теплоносителя ниже значений, заданных температурным графиком, утвержденным схемой теплоснабжения населенного пункта, характерных для работы в отопительный период и (или) определяемых обязательными требованиями к эксплуатации тепловых сетей, и предусматривающие снижение вкладов в приземные концентрации контролируемых веществ, создаваемых выбросами источников выбросов объекта ОНВОС, для рассматриваемой контрольной точки, которое должно составлять не менее чем на:</w:t>
      </w:r>
    </w:p>
    <w:p>
      <w:pPr>
        <w:pStyle w:val="0"/>
        <w:spacing w:before="240" w:line-rule="auto"/>
        <w:ind w:firstLine="540"/>
        <w:jc w:val="both"/>
      </w:pPr>
      <w:r>
        <w:rPr>
          <w:sz w:val="24"/>
        </w:rPr>
        <w:t xml:space="preserve">5% при НМУ 1 степени, присваиваемой в порядке, утвержденном в соответствии с </w:t>
      </w:r>
      <w:r>
        <w:rPr>
          <w:sz w:val="24"/>
        </w:rPr>
        <w:t xml:space="preserve">подпунктом 4 пункта 12 статьи 19</w:t>
      </w:r>
      <w:r>
        <w:rPr>
          <w:sz w:val="24"/>
        </w:rPr>
        <w:t xml:space="preserve"> Федерального закона N 96-ФЗ;</w:t>
      </w:r>
    </w:p>
    <w:p>
      <w:pPr>
        <w:pStyle w:val="0"/>
        <w:spacing w:before="240" w:line-rule="auto"/>
        <w:ind w:firstLine="540"/>
        <w:jc w:val="both"/>
      </w:pPr>
      <w:r>
        <w:rPr>
          <w:sz w:val="24"/>
        </w:rPr>
        <w:t xml:space="preserve">10% при НМУ 2 степени, присваиваемой в порядке, утвержденном в соответствии с </w:t>
      </w:r>
      <w:r>
        <w:rPr>
          <w:sz w:val="24"/>
        </w:rPr>
        <w:t xml:space="preserve">подпунктом 4 пункта 12 статьи 19</w:t>
      </w:r>
      <w:r>
        <w:rPr>
          <w:sz w:val="24"/>
        </w:rPr>
        <w:t xml:space="preserve"> Федерального закона N 96-ФЗ;</w:t>
      </w:r>
    </w:p>
    <w:p>
      <w:pPr>
        <w:pStyle w:val="0"/>
        <w:spacing w:before="240" w:line-rule="auto"/>
        <w:ind w:firstLine="540"/>
        <w:jc w:val="both"/>
      </w:pPr>
      <w:r>
        <w:rPr>
          <w:sz w:val="24"/>
        </w:rPr>
        <w:t xml:space="preserve">20% при НМУ 3 степени, присваиваемой в порядке, утвержденном в соответствии с </w:t>
      </w:r>
      <w:r>
        <w:rPr>
          <w:sz w:val="24"/>
        </w:rPr>
        <w:t xml:space="preserve">подпунктом 4 пункта 12 статьи 19</w:t>
      </w:r>
      <w:r>
        <w:rPr>
          <w:sz w:val="24"/>
        </w:rPr>
        <w:t xml:space="preserve"> Федерального закона N 96-ФЗ.</w:t>
      </w:r>
    </w:p>
    <w:p>
      <w:pPr>
        <w:pStyle w:val="0"/>
        <w:jc w:val="both"/>
      </w:pPr>
      <w:r>
        <w:rPr>
          <w:sz w:val="24"/>
        </w:rPr>
      </w:r>
    </w:p>
    <w:p>
      <w:pPr>
        <w:pStyle w:val="0"/>
        <w:jc w:val="both"/>
      </w:pPr>
      <w:r>
        <w:rPr>
          <w:sz w:val="24"/>
        </w:rPr>
      </w:r>
    </w:p>
    <w:p>
      <w:pPr>
        <w:pStyle w:val="0"/>
        <w:jc w:val="both"/>
        <w:pBdr>
          <w:bottom w:val="single" w:sz="6" w:space="0" w:color="auto"/>
        </w:pBdr>
        <w:spacing w:before="100" w:after="100"/>
        <w:rPr>
          <w:sz w:val="2"/>
          <w:szCs w:val="2"/>
        </w:rPr>
      </w:pPr>
    </w:p>
    <w:sectPr>
      <w:headerReference w:type="default" r:id="rId5"/>
      <w:headerReference w:type="first" r:id="rId5"/>
      <w:footerReference w:type="default" r:id="rId6"/>
      <w:footerReference w:type="first" r:id="rId6"/>
      <w:pgSz w:w="11906" w:h="16838"/>
      <w:pgMar w:top="1440" w:right="566" w:bottom="1440" w:left="1133" w:header="0" w:footer="0" w:gutter="0"/>
      <w:titlePg/>
    </w:sectPr>
  </w:body>
</w:document>
</file>

<file path=word/footer1.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663"/>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header1.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683"/>
      </w:trPr>
      <w:tc>
        <w:tcPr>
          <w:tcW w:w="2700" w:type="pct"/>
          <w:vAlign w:val="center"/>
        </w:tcPr>
        <w:p>
          <w:pPr>
            <w:rPr>
              <w:rFonts w:ascii="Tahoma" w:hAnsi="Tahoma" w:cs="Tahoma"/>
            </w:rPr>
          </w:pPr>
          <w:r>
            <w:rPr>
              <w:rFonts w:ascii="Tahoma" w:hAnsi="Tahoma" w:cs="Tahoma"/>
              <w:sz w:val="16"/>
              <w:szCs w:val="16"/>
            </w:rPr>
            <w:t>Приказ Минприроды России от 26.11.2025 N 651</w:t>
            <w:br/>
            <w:t>"Об утверждении требований к мероприятиям по снижению выбросов загрязняющих...</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06.04.2026</w:t>
          </w:r>
        </w:p>
      </w:tc>
    </w:tr>
  </w:tbl>
  <w:p>
    <w:pPr>
      <w:pBdr>
        <w:bottom w:val="single" w:sz="12" w:space="0" w:color="auto"/>
      </w:pBdr>
      <w:rPr>
        <w:sz w:val="2"/>
        <w:szCs w:val="2"/>
      </w:rPr>
    </w:pPr>
  </w:p>
  <w:p/>
</w:hdr>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pPrDefault>
      <w:pPr>
        <w:spacing w:before="0" w:after="0" w:line="240" w:lineRule="auto"/>
      </w:pPr>
    </w:pPrDefault>
  </w:docDefaults>
  <w:style w:type="paragraph" w:default="1" w:customStyle="1" w:styleId="0">
    <w:name w:val="ConsPlusNormal"/>
    <w:pPr>
      <w:widowControl w:val="0"/>
      <w:autoSpaceDE w:val="0"/>
      <w:autoSpaceDN w:val="0"/>
    </w:pPr>
    <w:rPr>
      <w:rFonts w:ascii="Times New Roman" w:hAnsi="Times New Roman" w:cs="Times New Roman"/>
      <w:sz w:val="24"/>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4"/>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Tahoma" w:hAnsi="Tahoma" w:cs="Tahoma"/>
      <w:sz w:val="18"/>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6"/>
    </w:rPr>
  </w:style>
  <w:style w:type="paragraph" w:customStyle="1" w:styleId="7">
    <w:name w:val="ConsPlusTextList"/>
    <w:pPr>
      <w:widowControl w:val="0"/>
      <w:autoSpaceDE w:val="0"/>
      <w:autoSpaceDN w:val="0"/>
    </w:pPr>
    <w:rPr>
      <w:rFonts w:ascii="Times New Roman" w:hAnsi="Times New Roman" w:cs="Times New Roman"/>
      <w:sz w:val="24"/>
    </w:rPr>
  </w:style>
  <w:style w:type="paragraph" w:customStyle="1" w:styleId="8">
    <w:name w:val="ConsPlusTextList"/>
    <w:pPr>
      <w:widowControl w:val="0"/>
      <w:autoSpaceDE w:val="0"/>
      <w:autoSpaceDN w:val="0"/>
    </w:pPr>
    <w:rPr>
      <w:rFonts w:ascii="Times New Roman" w:hAnsi="Times New Roman" w:cs="Times New Roman"/>
      <w:sz w:val="24"/>
    </w:rPr>
  </w:style>
  <w:style w:type="paragraph" w:default="1" w:customStyle="1" w:styleId="0">
    <w:name w:val="ConsPlusNormal"/>
    <w:pPr>
      <w:widowControl w:val="0"/>
      <w:autoSpaceDE w:val="0"/>
      <w:autoSpaceDN w:val="0"/>
    </w:pPr>
    <w:rPr>
      <w:rFonts w:ascii="Times New Roman" w:hAnsi="Times New Roman" w:cs="Times New Roman"/>
      <w:sz w:val="24"/>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4"/>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Tahoma" w:hAnsi="Tahoma" w:cs="Tahoma"/>
      <w:sz w:val="18"/>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6"/>
    </w:rPr>
  </w:style>
  <w:style w:type="paragraph" w:customStyle="1" w:styleId="7">
    <w:name w:val="ConsPlusTextList"/>
    <w:pPr>
      <w:widowControl w:val="0"/>
      <w:autoSpaceDE w:val="0"/>
      <w:autoSpaceDN w:val="0"/>
    </w:pPr>
    <w:rPr>
      <w:rFonts w:ascii="Times New Roman" w:hAnsi="Times New Roman" w:cs="Times New Roman"/>
      <w:sz w:val="24"/>
    </w:rPr>
  </w:style>
  <w:style w:type="paragraph" w:customStyle="1" w:styleId="8">
    <w:name w:val="ConsPlusTextList"/>
    <w:pPr>
      <w:widowControl w:val="0"/>
      <w:autoSpaceDE w:val="0"/>
      <w:autoSpaceDN w:val="0"/>
    </w:pPr>
    <w:rPr>
      <w:rFonts w:ascii="Times New Roman" w:hAnsi="Times New Roman" w:cs="Times New Roman"/>
      <w:sz w:val="24"/>
    </w:rPr>
  </w:style>
</w:style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image" Target="media/image1.png"/>
	<Relationship Id="rId3" Type="http://schemas.openxmlformats.org/officeDocument/2006/relationships/hyperlink" Target="https://www.consultant.ru" TargetMode = "External"/>
	<Relationship Id="rId4" Type="http://schemas.openxmlformats.org/officeDocument/2006/relationships/hyperlink" Target="https://www.consultant.ru" TargetMode = "External"/>
	<Relationship Id="rId5" Type="http://schemas.openxmlformats.org/officeDocument/2006/relationships/header" Target="header1.xml"/>
	<Relationship Id="rId6" Type="http://schemas.openxmlformats.org/officeDocument/2006/relationships/footer" Target="footer1.xml"/>
</Relationships>
</file>

<file path=word/_rels/footer1.xml.rels><?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word/_rels/header1.xml.rels><?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docProps/app.xml><?xml version="1.0" encoding="utf-8"?>
<Properties xmlns="http://schemas.openxmlformats.org/officeDocument/2006/extended-properties" xmlns:vt="http://schemas.openxmlformats.org/officeDocument/2006/docPropsVTypes">
  <Application>КонсультантПлюс Версия 4024.00.50</Application>
  <Company>КонсультантПлюс Версия 4024.00.50</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Приказ Минприроды России от 26.11.2025 N 651
"Об утверждении требований к мероприятиям по снижению выбросов загрязняющих веществ в атмосферный воздух в периоды неблагоприятных метеорологических условий и их проведению при поступлении общих прогнозов неблагоприятных метеорологических условий или специализированных прогнозов неблагоприятных метеорологических условий"
(Зарегистрировано в Минюсте России 28.11.2025 N 84372)</dc:title>
  <dcterms:created xsi:type="dcterms:W3CDTF">2026-04-06T08:31:50Z</dcterms:created>
</cp:coreProperties>
</file>